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EFF" w:rsidRDefault="00C14EFF" w:rsidP="00DB6FB1">
      <w:pPr>
        <w:spacing w:after="0"/>
      </w:pPr>
    </w:p>
    <w:p w:rsidR="00C14EFF" w:rsidRDefault="00C14EFF" w:rsidP="00DB6FB1">
      <w:pPr>
        <w:spacing w:after="0"/>
      </w:pPr>
    </w:p>
    <w:p w:rsidR="00C14EFF" w:rsidRDefault="00C14EFF" w:rsidP="00DB6FB1">
      <w:pPr>
        <w:spacing w:after="0"/>
      </w:pPr>
    </w:p>
    <w:p w:rsidR="00DB6FB1" w:rsidRDefault="00DB6FB1" w:rsidP="00DB6FB1">
      <w:pPr>
        <w:spacing w:after="0"/>
      </w:pPr>
    </w:p>
    <w:p w:rsidR="00DB6FB1" w:rsidRDefault="00DB6FB1" w:rsidP="00DB6FB1">
      <w:pPr>
        <w:spacing w:after="0"/>
      </w:pPr>
    </w:p>
    <w:p w:rsidR="00C14EFF" w:rsidRDefault="00C14EFF" w:rsidP="00DB6FB1">
      <w:pPr>
        <w:spacing w:after="0"/>
      </w:pPr>
    </w:p>
    <w:p w:rsidR="00C14EFF" w:rsidRDefault="00C14EFF" w:rsidP="00DB6FB1">
      <w:pPr>
        <w:spacing w:after="0"/>
      </w:pPr>
    </w:p>
    <w:p w:rsidR="00C14EFF" w:rsidRDefault="00BD0958" w:rsidP="00DB6FB1">
      <w:pPr>
        <w:spacing w:after="0"/>
        <w:jc w:val="center"/>
      </w:pPr>
      <w:r>
        <w:t>Kroger Company Mini-case</w:t>
      </w:r>
    </w:p>
    <w:p w:rsidR="00C14EFF" w:rsidRDefault="00812850" w:rsidP="00DB6FB1">
      <w:pPr>
        <w:spacing w:after="0"/>
        <w:jc w:val="center"/>
      </w:pPr>
      <w:r>
        <w:t>Name of Student</w:t>
      </w:r>
    </w:p>
    <w:p w:rsidR="00C14EFF" w:rsidRDefault="00812850" w:rsidP="00DB6FB1">
      <w:pPr>
        <w:tabs>
          <w:tab w:val="center" w:pos="4513"/>
          <w:tab w:val="right" w:pos="9026"/>
        </w:tabs>
        <w:spacing w:after="0"/>
      </w:pPr>
      <w:r>
        <w:tab/>
      </w:r>
      <w:r w:rsidR="00ED3958">
        <w:t>Institution Affiliation</w:t>
      </w:r>
      <w:r>
        <w:tab/>
      </w:r>
    </w:p>
    <w:p w:rsidR="00C14EFF" w:rsidRDefault="00812850" w:rsidP="00DB6FB1">
      <w:pPr>
        <w:spacing w:after="0"/>
      </w:pPr>
      <w:r>
        <w:br w:type="page"/>
      </w:r>
    </w:p>
    <w:p w:rsidR="001B04E8" w:rsidRPr="001B04E8" w:rsidRDefault="00812850" w:rsidP="00DB6FB1">
      <w:pPr>
        <w:spacing w:after="0"/>
        <w:jc w:val="center"/>
        <w:rPr>
          <w:b/>
        </w:rPr>
      </w:pPr>
      <w:r w:rsidRPr="00A47CE1">
        <w:rPr>
          <w:b/>
        </w:rPr>
        <w:lastRenderedPageBreak/>
        <w:t>Introduction</w:t>
      </w:r>
    </w:p>
    <w:p w:rsidR="00C357A5" w:rsidRDefault="00274D90" w:rsidP="00DB6FB1">
      <w:pPr>
        <w:spacing w:after="0"/>
        <w:rPr>
          <w:rFonts w:eastAsia="Times New Roman" w:cs="Times New Roman"/>
          <w:color w:val="000000"/>
          <w:szCs w:val="24"/>
        </w:rPr>
      </w:pPr>
      <w:r>
        <w:rPr>
          <w:rFonts w:eastAsia="Times New Roman" w:cs="Times New Roman"/>
          <w:color w:val="000000"/>
          <w:szCs w:val="24"/>
        </w:rPr>
        <w:t xml:space="preserve">This paper answers the questions from the case study on Kroger Company (KR). </w:t>
      </w:r>
    </w:p>
    <w:p w:rsidR="00BD0958" w:rsidRPr="006135A8" w:rsidRDefault="00BD0958" w:rsidP="00DB6FB1">
      <w:pPr>
        <w:pStyle w:val="ListParagraph"/>
        <w:numPr>
          <w:ilvl w:val="0"/>
          <w:numId w:val="3"/>
        </w:numPr>
        <w:spacing w:after="0"/>
        <w:rPr>
          <w:rFonts w:eastAsia="Times New Roman" w:cs="Times New Roman"/>
          <w:b/>
          <w:color w:val="000000"/>
          <w:szCs w:val="24"/>
        </w:rPr>
      </w:pPr>
      <w:r w:rsidRPr="006135A8">
        <w:rPr>
          <w:rFonts w:eastAsia="Times New Roman" w:cs="Times New Roman"/>
          <w:b/>
          <w:color w:val="000000"/>
          <w:szCs w:val="24"/>
        </w:rPr>
        <w:t>Generosity versus Profitability</w:t>
      </w:r>
    </w:p>
    <w:p w:rsidR="00BD0958" w:rsidRDefault="00BD0958" w:rsidP="00DB6FB1">
      <w:pPr>
        <w:spacing w:after="0"/>
        <w:rPr>
          <w:rFonts w:eastAsia="Times New Roman" w:cs="Times New Roman"/>
          <w:color w:val="000000"/>
          <w:szCs w:val="24"/>
        </w:rPr>
      </w:pPr>
      <w:r>
        <w:rPr>
          <w:rFonts w:eastAsia="Times New Roman" w:cs="Times New Roman"/>
          <w:color w:val="000000"/>
          <w:szCs w:val="24"/>
        </w:rPr>
        <w:tab/>
        <w:t>Forbes magazine hailed Kroger as the most generous company in the United States. The magazine reached this conclus</w:t>
      </w:r>
      <w:bookmarkStart w:id="0" w:name="_GoBack"/>
      <w:bookmarkEnd w:id="0"/>
      <w:r>
        <w:rPr>
          <w:rFonts w:eastAsia="Times New Roman" w:cs="Times New Roman"/>
          <w:color w:val="000000"/>
          <w:szCs w:val="24"/>
        </w:rPr>
        <w:t>ion due to the magnitude and scale of Kroger’s Corporate Social Responsibility projects such as hunger relief, breast cancer awareness campaigns as well as supporting military families. The company has achieved tremendous success in this regard as it provide</w:t>
      </w:r>
      <w:r w:rsidR="00760F42">
        <w:rPr>
          <w:rFonts w:eastAsia="Times New Roman" w:cs="Times New Roman"/>
          <w:color w:val="000000"/>
          <w:szCs w:val="24"/>
        </w:rPr>
        <w:t>d</w:t>
      </w:r>
      <w:r>
        <w:rPr>
          <w:rFonts w:eastAsia="Times New Roman" w:cs="Times New Roman"/>
          <w:color w:val="000000"/>
          <w:szCs w:val="24"/>
        </w:rPr>
        <w:t xml:space="preserve"> 200 million meals a year on average. However, social generosity does not necessarily translate to business profitability and success</w:t>
      </w:r>
      <w:r w:rsidR="005B52AF">
        <w:rPr>
          <w:rFonts w:eastAsia="Times New Roman" w:cs="Times New Roman"/>
          <w:color w:val="000000"/>
          <w:szCs w:val="24"/>
        </w:rPr>
        <w:t xml:space="preserve"> (Hanlon 2017)</w:t>
      </w:r>
      <w:r>
        <w:rPr>
          <w:rFonts w:eastAsia="Times New Roman" w:cs="Times New Roman"/>
          <w:color w:val="000000"/>
          <w:szCs w:val="24"/>
        </w:rPr>
        <w:t>.</w:t>
      </w:r>
      <w:r w:rsidR="00274D90">
        <w:rPr>
          <w:rFonts w:eastAsia="Times New Roman" w:cs="Times New Roman"/>
          <w:color w:val="000000"/>
          <w:szCs w:val="24"/>
        </w:rPr>
        <w:t xml:space="preserve"> The generous gestures</w:t>
      </w:r>
      <w:r w:rsidR="00370A8E">
        <w:rPr>
          <w:rFonts w:eastAsia="Times New Roman" w:cs="Times New Roman"/>
          <w:color w:val="000000"/>
          <w:szCs w:val="24"/>
        </w:rPr>
        <w:t xml:space="preserve"> require a huge amount of resources that present a cost to the company that eats into its bottom-line. Moreover, the CSR projects require a great deal of planning and co-ordination efforts by the company’s management that might have otherwise been expended on more profitable business ventures. However, the CSR projects sometimes endear companies to the public and hence contribute positively in aspects such as brand loyalty and less public scrutiny</w:t>
      </w:r>
      <w:r w:rsidR="005B52AF">
        <w:rPr>
          <w:rFonts w:eastAsia="Times New Roman" w:cs="Times New Roman"/>
          <w:color w:val="000000"/>
          <w:szCs w:val="24"/>
        </w:rPr>
        <w:t xml:space="preserve"> (Hanlon 2017)</w:t>
      </w:r>
      <w:r w:rsidR="00370A8E">
        <w:rPr>
          <w:rFonts w:eastAsia="Times New Roman" w:cs="Times New Roman"/>
          <w:color w:val="000000"/>
          <w:szCs w:val="24"/>
        </w:rPr>
        <w:t>. Nonetheless, the costs of the CSR projects often times outweigh their benefits</w:t>
      </w:r>
      <w:r w:rsidR="00594C9A">
        <w:rPr>
          <w:rFonts w:eastAsia="Times New Roman" w:cs="Times New Roman"/>
          <w:color w:val="000000"/>
          <w:szCs w:val="24"/>
        </w:rPr>
        <w:t xml:space="preserve"> (Hanlon 2017)</w:t>
      </w:r>
      <w:r w:rsidR="00370A8E">
        <w:rPr>
          <w:rFonts w:eastAsia="Times New Roman" w:cs="Times New Roman"/>
          <w:color w:val="000000"/>
          <w:szCs w:val="24"/>
        </w:rPr>
        <w:t xml:space="preserve">. </w:t>
      </w:r>
    </w:p>
    <w:p w:rsidR="00370A8E" w:rsidRPr="006135A8" w:rsidRDefault="003909B6" w:rsidP="00DB6FB1">
      <w:pPr>
        <w:pStyle w:val="ListParagraph"/>
        <w:numPr>
          <w:ilvl w:val="0"/>
          <w:numId w:val="3"/>
        </w:numPr>
        <w:spacing w:after="0"/>
        <w:rPr>
          <w:rFonts w:eastAsia="Times New Roman" w:cs="Times New Roman"/>
          <w:b/>
          <w:color w:val="000000"/>
          <w:szCs w:val="24"/>
        </w:rPr>
      </w:pPr>
      <w:r w:rsidRPr="006135A8">
        <w:rPr>
          <w:rFonts w:eastAsia="Times New Roman" w:cs="Times New Roman"/>
          <w:b/>
          <w:color w:val="000000"/>
          <w:szCs w:val="24"/>
        </w:rPr>
        <w:t>Choice s</w:t>
      </w:r>
      <w:r w:rsidR="00370A8E" w:rsidRPr="006135A8">
        <w:rPr>
          <w:rFonts w:eastAsia="Times New Roman" w:cs="Times New Roman"/>
          <w:b/>
          <w:color w:val="000000"/>
          <w:szCs w:val="24"/>
        </w:rPr>
        <w:t>hopping destination</w:t>
      </w:r>
    </w:p>
    <w:p w:rsidR="003909B6" w:rsidRDefault="003909B6" w:rsidP="00DB6FB1">
      <w:pPr>
        <w:spacing w:after="0"/>
        <w:rPr>
          <w:rFonts w:eastAsia="Times New Roman" w:cs="Times New Roman"/>
          <w:color w:val="000000"/>
          <w:szCs w:val="24"/>
        </w:rPr>
      </w:pPr>
      <w:r>
        <w:rPr>
          <w:rFonts w:eastAsia="Times New Roman" w:cs="Times New Roman"/>
          <w:color w:val="000000"/>
          <w:szCs w:val="24"/>
        </w:rPr>
        <w:tab/>
        <w:t>I shop at different outlets but often times at Walmart supermarket for various reasons. Firstly, the supermarket</w:t>
      </w:r>
      <w:r w:rsidR="00274D90">
        <w:rPr>
          <w:rFonts w:eastAsia="Times New Roman" w:cs="Times New Roman"/>
          <w:color w:val="000000"/>
          <w:szCs w:val="24"/>
        </w:rPr>
        <w:t xml:space="preserve"> provides a user-friendly</w:t>
      </w:r>
      <w:r>
        <w:rPr>
          <w:rFonts w:eastAsia="Times New Roman" w:cs="Times New Roman"/>
          <w:color w:val="000000"/>
          <w:szCs w:val="24"/>
        </w:rPr>
        <w:t xml:space="preserve"> online platform where one can order and pay for their goods. Therefore, shopping with the retailer is hassle-free. Secondly, Walmart offers a wide variety of brands at very competitive price points. </w:t>
      </w:r>
    </w:p>
    <w:p w:rsidR="00274D90" w:rsidRDefault="00274D90" w:rsidP="00DB6FB1">
      <w:pPr>
        <w:spacing w:after="0"/>
        <w:rPr>
          <w:rFonts w:eastAsia="Times New Roman" w:cs="Times New Roman"/>
          <w:color w:val="000000"/>
          <w:szCs w:val="24"/>
        </w:rPr>
      </w:pPr>
    </w:p>
    <w:p w:rsidR="00274D90" w:rsidRDefault="00274D90" w:rsidP="00DB6FB1">
      <w:pPr>
        <w:spacing w:after="0"/>
        <w:rPr>
          <w:rFonts w:eastAsia="Times New Roman" w:cs="Times New Roman"/>
          <w:color w:val="000000"/>
          <w:szCs w:val="24"/>
        </w:rPr>
      </w:pPr>
    </w:p>
    <w:p w:rsidR="00370A8E" w:rsidRPr="006135A8" w:rsidRDefault="003909B6" w:rsidP="00DB6FB1">
      <w:pPr>
        <w:pStyle w:val="ListParagraph"/>
        <w:numPr>
          <w:ilvl w:val="0"/>
          <w:numId w:val="3"/>
        </w:numPr>
        <w:spacing w:after="0"/>
        <w:rPr>
          <w:rFonts w:eastAsia="Times New Roman" w:cs="Times New Roman"/>
          <w:b/>
          <w:color w:val="000000"/>
          <w:szCs w:val="24"/>
        </w:rPr>
      </w:pPr>
      <w:r w:rsidRPr="006135A8">
        <w:rPr>
          <w:rFonts w:eastAsia="Times New Roman" w:cs="Times New Roman"/>
          <w:b/>
          <w:color w:val="000000"/>
          <w:szCs w:val="24"/>
        </w:rPr>
        <w:t>Shopping Criteria</w:t>
      </w:r>
    </w:p>
    <w:p w:rsidR="003909B6" w:rsidRDefault="003909B6" w:rsidP="00DB6FB1">
      <w:pPr>
        <w:spacing w:after="0"/>
        <w:rPr>
          <w:rFonts w:eastAsia="Times New Roman" w:cs="Times New Roman"/>
          <w:color w:val="000000"/>
          <w:szCs w:val="24"/>
        </w:rPr>
      </w:pPr>
      <w:r>
        <w:rPr>
          <w:rFonts w:eastAsia="Times New Roman" w:cs="Times New Roman"/>
          <w:b/>
          <w:color w:val="000000"/>
          <w:szCs w:val="24"/>
        </w:rPr>
        <w:lastRenderedPageBreak/>
        <w:tab/>
      </w:r>
      <w:r>
        <w:rPr>
          <w:rFonts w:eastAsia="Times New Roman" w:cs="Times New Roman"/>
          <w:color w:val="000000"/>
          <w:szCs w:val="24"/>
        </w:rPr>
        <w:t xml:space="preserve">I consider various factors in determining the outlet in which to do my shopping. Firstly, the </w:t>
      </w:r>
      <w:r w:rsidR="007B0D60">
        <w:rPr>
          <w:rFonts w:eastAsia="Times New Roman" w:cs="Times New Roman"/>
          <w:color w:val="000000"/>
          <w:szCs w:val="24"/>
        </w:rPr>
        <w:t xml:space="preserve">supermarket should have a wide variety of brands from which I can chose from. Secondly, it should price its products competitively. This ensures that I’m able to work within my budget. Finally, I shop at the outlet that provides the most convenient shopping experience. Kroger checks on each of the boxes especially after it upgraded its online shopping platform to make it more seamless. </w:t>
      </w:r>
      <w:r>
        <w:rPr>
          <w:rFonts w:eastAsia="Times New Roman" w:cs="Times New Roman"/>
          <w:color w:val="000000"/>
          <w:szCs w:val="24"/>
        </w:rPr>
        <w:t xml:space="preserve"> </w:t>
      </w:r>
    </w:p>
    <w:p w:rsidR="007B0D60" w:rsidRPr="006135A8" w:rsidRDefault="007B0D60" w:rsidP="00DB6FB1">
      <w:pPr>
        <w:pStyle w:val="ListParagraph"/>
        <w:numPr>
          <w:ilvl w:val="0"/>
          <w:numId w:val="3"/>
        </w:numPr>
        <w:spacing w:after="0"/>
        <w:rPr>
          <w:rFonts w:eastAsia="Times New Roman" w:cs="Times New Roman"/>
          <w:b/>
          <w:color w:val="000000"/>
          <w:szCs w:val="24"/>
        </w:rPr>
      </w:pPr>
      <w:r w:rsidRPr="006135A8">
        <w:rPr>
          <w:rFonts w:eastAsia="Times New Roman" w:cs="Times New Roman"/>
          <w:b/>
          <w:color w:val="000000"/>
          <w:szCs w:val="24"/>
        </w:rPr>
        <w:t>Competitive response to the proposed merger</w:t>
      </w:r>
    </w:p>
    <w:p w:rsidR="007B0D60" w:rsidRDefault="007B0D60" w:rsidP="00DB6FB1">
      <w:pPr>
        <w:spacing w:after="0"/>
        <w:rPr>
          <w:rFonts w:eastAsia="Times New Roman" w:cs="Times New Roman"/>
          <w:color w:val="000000"/>
          <w:szCs w:val="24"/>
        </w:rPr>
      </w:pPr>
      <w:r>
        <w:rPr>
          <w:rFonts w:eastAsia="Times New Roman" w:cs="Times New Roman"/>
          <w:color w:val="000000"/>
          <w:szCs w:val="24"/>
        </w:rPr>
        <w:tab/>
      </w:r>
      <w:r w:rsidR="00B63DE6">
        <w:rPr>
          <w:rFonts w:eastAsia="Times New Roman" w:cs="Times New Roman"/>
          <w:color w:val="000000"/>
          <w:szCs w:val="24"/>
        </w:rPr>
        <w:t>The potential merger of Royal Ahold NV and Delhaize Group would increase competitive pressures facing Kroger such as price competition and erosion of market share. Kroger Company could respond to the proposed move in a couple of ways. Firstly, Kroger Company could look for strategic target companies that it can acquire</w:t>
      </w:r>
      <w:r w:rsidR="005B52AF">
        <w:rPr>
          <w:rFonts w:eastAsia="Times New Roman" w:cs="Times New Roman"/>
          <w:color w:val="000000"/>
          <w:szCs w:val="24"/>
        </w:rPr>
        <w:t xml:space="preserve"> (Clougherty 2015)</w:t>
      </w:r>
      <w:r w:rsidR="00B63DE6">
        <w:rPr>
          <w:rFonts w:eastAsia="Times New Roman" w:cs="Times New Roman"/>
          <w:color w:val="000000"/>
          <w:szCs w:val="24"/>
        </w:rPr>
        <w:t>. The move would ensure that Kroger is able to maintain, or even increase, its market share despite the merger between Ahold and Delhaize. Moreover, the acquisition is likely to increase supply chain efficiencies and drive down operational costs of the supermarket as it takes advantage of economies of scale. Secondly, Kroger can increase its investment and allocation to advertising as the two companies work on the merger</w:t>
      </w:r>
      <w:r w:rsidR="00760F42">
        <w:rPr>
          <w:rFonts w:eastAsia="Times New Roman" w:cs="Times New Roman"/>
          <w:color w:val="000000"/>
          <w:szCs w:val="24"/>
        </w:rPr>
        <w:t xml:space="preserve"> (King 2016)</w:t>
      </w:r>
      <w:r w:rsidR="00B63DE6">
        <w:rPr>
          <w:rFonts w:eastAsia="Times New Roman" w:cs="Times New Roman"/>
          <w:color w:val="000000"/>
          <w:szCs w:val="24"/>
        </w:rPr>
        <w:t xml:space="preserve">. </w:t>
      </w:r>
      <w:r w:rsidR="00857DCE">
        <w:rPr>
          <w:rFonts w:eastAsia="Times New Roman" w:cs="Times New Roman"/>
          <w:color w:val="000000"/>
          <w:szCs w:val="24"/>
        </w:rPr>
        <w:t>The increased investment will enable the supermarket to create brand awareness and to properly position its brand in the market so as to increase its sales and market share. Finally, Kroger can segment its market and employ a mix of strategies in each market</w:t>
      </w:r>
      <w:r w:rsidR="00760F42">
        <w:rPr>
          <w:rFonts w:eastAsia="Times New Roman" w:cs="Times New Roman"/>
          <w:color w:val="000000"/>
          <w:szCs w:val="24"/>
        </w:rPr>
        <w:t xml:space="preserve"> (Uhlen 2017)</w:t>
      </w:r>
      <w:r w:rsidR="00857DCE">
        <w:rPr>
          <w:rFonts w:eastAsia="Times New Roman" w:cs="Times New Roman"/>
          <w:color w:val="000000"/>
          <w:szCs w:val="24"/>
        </w:rPr>
        <w:t>. For instance, Kroger can employ price competition in the South where it is relatively more popular to ward off competition from Delhaize’s Food Lion. It can also sto</w:t>
      </w:r>
      <w:r w:rsidR="00F92009">
        <w:rPr>
          <w:rFonts w:eastAsia="Times New Roman" w:cs="Times New Roman"/>
          <w:color w:val="000000"/>
          <w:szCs w:val="24"/>
        </w:rPr>
        <w:t xml:space="preserve">ck high margin products in the outlets that are situated in more affluent neighborhoods. </w:t>
      </w:r>
    </w:p>
    <w:p w:rsidR="006F4421" w:rsidRDefault="006F4421" w:rsidP="00DB6FB1">
      <w:pPr>
        <w:spacing w:after="0"/>
        <w:rPr>
          <w:rFonts w:eastAsia="Times New Roman" w:cs="Times New Roman"/>
          <w:color w:val="000000"/>
          <w:szCs w:val="24"/>
        </w:rPr>
      </w:pPr>
    </w:p>
    <w:p w:rsidR="00F92009" w:rsidRPr="006135A8" w:rsidRDefault="006F4421" w:rsidP="00DB6FB1">
      <w:pPr>
        <w:pStyle w:val="ListParagraph"/>
        <w:numPr>
          <w:ilvl w:val="0"/>
          <w:numId w:val="3"/>
        </w:numPr>
        <w:spacing w:after="0"/>
        <w:rPr>
          <w:rFonts w:eastAsia="Times New Roman" w:cs="Times New Roman"/>
          <w:b/>
          <w:color w:val="000000"/>
          <w:szCs w:val="24"/>
        </w:rPr>
      </w:pPr>
      <w:r w:rsidRPr="006135A8">
        <w:rPr>
          <w:rFonts w:eastAsia="Times New Roman" w:cs="Times New Roman"/>
          <w:b/>
          <w:color w:val="000000"/>
          <w:szCs w:val="24"/>
        </w:rPr>
        <w:t>Kroger Company’s Financial Performance</w:t>
      </w:r>
    </w:p>
    <w:p w:rsidR="00471694" w:rsidRDefault="006F4421" w:rsidP="00DB6FB1">
      <w:pPr>
        <w:spacing w:after="0"/>
        <w:rPr>
          <w:rFonts w:eastAsia="Times New Roman" w:cs="Times New Roman"/>
          <w:color w:val="000000"/>
          <w:szCs w:val="24"/>
        </w:rPr>
      </w:pPr>
      <w:r>
        <w:rPr>
          <w:rFonts w:eastAsia="Times New Roman" w:cs="Times New Roman"/>
          <w:color w:val="000000"/>
          <w:szCs w:val="24"/>
        </w:rPr>
        <w:lastRenderedPageBreak/>
        <w:tab/>
        <w:t>Kroger was able to grow its revenues by 2% in 2018 which was way below the retail industry</w:t>
      </w:r>
      <w:r w:rsidR="003B32F0">
        <w:rPr>
          <w:rFonts w:eastAsia="Times New Roman" w:cs="Times New Roman"/>
          <w:color w:val="000000"/>
          <w:szCs w:val="24"/>
        </w:rPr>
        <w:t xml:space="preserve"> average</w:t>
      </w:r>
      <w:r>
        <w:rPr>
          <w:rFonts w:eastAsia="Times New Roman" w:cs="Times New Roman"/>
          <w:color w:val="000000"/>
          <w:szCs w:val="24"/>
        </w:rPr>
        <w:t xml:space="preserve"> revenue growth of 4.69%</w:t>
      </w:r>
      <w:r w:rsidR="00760F42">
        <w:rPr>
          <w:rFonts w:eastAsia="Times New Roman" w:cs="Times New Roman"/>
          <w:color w:val="000000"/>
          <w:szCs w:val="24"/>
        </w:rPr>
        <w:t xml:space="preserve"> (Yahoo Finance 2019)</w:t>
      </w:r>
      <w:r>
        <w:rPr>
          <w:rFonts w:eastAsia="Times New Roman" w:cs="Times New Roman"/>
          <w:color w:val="000000"/>
          <w:szCs w:val="24"/>
        </w:rPr>
        <w:t xml:space="preserve">. The below-par performance was attributed to declining per store revenues of Kroger’s outlets as more and more customers preferred to shop via online platforms. However, Kroger was able to register a 58% increase in its online sales to $5 billion </w:t>
      </w:r>
      <w:r w:rsidR="00471694">
        <w:rPr>
          <w:rFonts w:eastAsia="Times New Roman" w:cs="Times New Roman"/>
          <w:color w:val="000000"/>
          <w:szCs w:val="24"/>
        </w:rPr>
        <w:t xml:space="preserve">in 2018. The increase in online sales can be attributed to the general market trends where consumers prefer to shop online. The improved digital revenues can also be attributed to investments in ICT and the digital business by Kroger to ensure that online clients have a seamless shopping experience. </w:t>
      </w:r>
    </w:p>
    <w:p w:rsidR="006A7472" w:rsidRDefault="00471694" w:rsidP="00DB6FB1">
      <w:pPr>
        <w:spacing w:after="0"/>
        <w:rPr>
          <w:rFonts w:eastAsia="Times New Roman" w:cs="Times New Roman"/>
          <w:color w:val="000000"/>
          <w:szCs w:val="24"/>
        </w:rPr>
      </w:pPr>
      <w:r>
        <w:rPr>
          <w:rFonts w:eastAsia="Times New Roman" w:cs="Times New Roman"/>
          <w:color w:val="000000"/>
          <w:szCs w:val="24"/>
        </w:rPr>
        <w:tab/>
        <w:t>Kroger’s profit in 2018 was $</w:t>
      </w:r>
      <w:r w:rsidR="008010BD">
        <w:rPr>
          <w:rFonts w:eastAsia="Times New Roman" w:cs="Times New Roman"/>
          <w:color w:val="000000"/>
          <w:szCs w:val="24"/>
        </w:rPr>
        <w:t>2.68</w:t>
      </w:r>
      <w:r>
        <w:rPr>
          <w:rFonts w:eastAsia="Times New Roman" w:cs="Times New Roman"/>
          <w:color w:val="000000"/>
          <w:szCs w:val="24"/>
        </w:rPr>
        <w:t xml:space="preserve"> billion and was relatively flat compared to 2017 due to an increased cost base. The increase in costs was largely attributed to upgrading of the company’s digital equipment. For instance, Kroger</w:t>
      </w:r>
      <w:r w:rsidR="008010BD">
        <w:rPr>
          <w:rFonts w:eastAsia="Times New Roman" w:cs="Times New Roman"/>
          <w:color w:val="000000"/>
          <w:szCs w:val="24"/>
        </w:rPr>
        <w:t xml:space="preserve"> integrated its ecommerce platforms and</w:t>
      </w:r>
      <w:r>
        <w:rPr>
          <w:rFonts w:eastAsia="Times New Roman" w:cs="Times New Roman"/>
          <w:color w:val="000000"/>
          <w:szCs w:val="24"/>
        </w:rPr>
        <w:t xml:space="preserve"> opened a new warehouse to ensure that it was able to supply the increasing volumes of online sales orders.</w:t>
      </w:r>
      <w:r w:rsidR="008010BD">
        <w:rPr>
          <w:rFonts w:eastAsia="Times New Roman" w:cs="Times New Roman"/>
          <w:color w:val="000000"/>
          <w:szCs w:val="24"/>
        </w:rPr>
        <w:t xml:space="preserve"> The company’s stock was down year to date by 14.8% and was trading at $23.67 on the 30</w:t>
      </w:r>
      <w:r w:rsidR="008010BD" w:rsidRPr="008010BD">
        <w:rPr>
          <w:rFonts w:eastAsia="Times New Roman" w:cs="Times New Roman"/>
          <w:color w:val="000000"/>
          <w:szCs w:val="24"/>
          <w:vertAlign w:val="superscript"/>
        </w:rPr>
        <w:t>th</w:t>
      </w:r>
      <w:r w:rsidR="008010BD">
        <w:rPr>
          <w:rFonts w:eastAsia="Times New Roman" w:cs="Times New Roman"/>
          <w:color w:val="000000"/>
          <w:szCs w:val="24"/>
        </w:rPr>
        <w:t xml:space="preserve"> August 2019.</w:t>
      </w:r>
    </w:p>
    <w:p w:rsidR="00471694" w:rsidRPr="006135A8" w:rsidRDefault="006A7472" w:rsidP="00DB6FB1">
      <w:pPr>
        <w:pStyle w:val="ListParagraph"/>
        <w:numPr>
          <w:ilvl w:val="0"/>
          <w:numId w:val="3"/>
        </w:numPr>
        <w:spacing w:after="0"/>
        <w:rPr>
          <w:rFonts w:eastAsia="Times New Roman" w:cs="Times New Roman"/>
          <w:b/>
          <w:color w:val="000000"/>
          <w:szCs w:val="24"/>
        </w:rPr>
      </w:pPr>
      <w:r w:rsidRPr="006135A8">
        <w:rPr>
          <w:rFonts w:eastAsia="Times New Roman" w:cs="Times New Roman"/>
          <w:b/>
          <w:color w:val="000000"/>
          <w:szCs w:val="24"/>
        </w:rPr>
        <w:t>Kroger Company’s Competitors</w:t>
      </w:r>
      <w:r w:rsidR="008010BD" w:rsidRPr="006135A8">
        <w:rPr>
          <w:rFonts w:eastAsia="Times New Roman" w:cs="Times New Roman"/>
          <w:b/>
          <w:color w:val="000000"/>
          <w:szCs w:val="24"/>
        </w:rPr>
        <w:t xml:space="preserve"> </w:t>
      </w:r>
    </w:p>
    <w:p w:rsidR="00274D90" w:rsidRPr="006A7472" w:rsidRDefault="006A7472" w:rsidP="00DB6FB1">
      <w:pPr>
        <w:spacing w:after="0"/>
        <w:rPr>
          <w:rFonts w:eastAsia="Times New Roman" w:cs="Times New Roman"/>
          <w:color w:val="000000"/>
          <w:szCs w:val="24"/>
        </w:rPr>
      </w:pPr>
      <w:r>
        <w:rPr>
          <w:rFonts w:eastAsia="Times New Roman" w:cs="Times New Roman"/>
          <w:color w:val="000000"/>
          <w:szCs w:val="24"/>
        </w:rPr>
        <w:tab/>
        <w:t>Kroger’s main competitors are Walmart Inc. and Amazon</w:t>
      </w:r>
      <w:r w:rsidR="006135A8">
        <w:rPr>
          <w:rFonts w:eastAsia="Times New Roman" w:cs="Times New Roman"/>
          <w:color w:val="000000"/>
          <w:szCs w:val="24"/>
        </w:rPr>
        <w:t xml:space="preserve">. The two competitors were more profitable than Kroger in 2018. Walmart Inc. and Amazon registered operating profit margins of 2.48% and 4.80% respectively compared to Kroger’s 1.54%. However, Kroger made a good return for its shareholders registering a return on equity (ROE) of 23.6% compared to Walmart’s 17.5%. Amazon offered the highest rate of return </w:t>
      </w:r>
      <w:r w:rsidR="003B32F0">
        <w:rPr>
          <w:rFonts w:eastAsia="Times New Roman" w:cs="Times New Roman"/>
          <w:color w:val="000000"/>
          <w:szCs w:val="24"/>
        </w:rPr>
        <w:t xml:space="preserve"> with an ROE </w:t>
      </w:r>
      <w:r w:rsidR="006135A8">
        <w:rPr>
          <w:rFonts w:eastAsia="Times New Roman" w:cs="Times New Roman"/>
          <w:color w:val="000000"/>
          <w:szCs w:val="24"/>
        </w:rPr>
        <w:t>of 27.5%. Kroger’s stock traded at the lowest multiples among the three. It traded at a trailing P/E mu</w:t>
      </w:r>
      <w:r w:rsidR="00274D90">
        <w:rPr>
          <w:rFonts w:eastAsia="Times New Roman" w:cs="Times New Roman"/>
          <w:color w:val="000000"/>
          <w:szCs w:val="24"/>
        </w:rPr>
        <w:t>ltiple of 10 times compared to Walmart’s 25 and Amazon’s 74 times.</w:t>
      </w:r>
    </w:p>
    <w:p w:rsidR="008010BD" w:rsidRDefault="008010BD" w:rsidP="00DB6FB1">
      <w:pPr>
        <w:spacing w:after="0"/>
        <w:rPr>
          <w:rFonts w:eastAsia="Times New Roman" w:cs="Times New Roman"/>
          <w:color w:val="000000"/>
          <w:szCs w:val="24"/>
        </w:rPr>
      </w:pPr>
    </w:p>
    <w:p w:rsidR="00DB6FB1" w:rsidRDefault="00DB6FB1">
      <w:pPr>
        <w:rPr>
          <w:rFonts w:eastAsia="Times New Roman" w:cs="Times New Roman"/>
          <w:color w:val="000000"/>
          <w:szCs w:val="24"/>
        </w:rPr>
      </w:pPr>
      <w:r>
        <w:rPr>
          <w:rFonts w:eastAsia="Times New Roman" w:cs="Times New Roman"/>
          <w:color w:val="000000"/>
          <w:szCs w:val="24"/>
        </w:rPr>
        <w:br w:type="page"/>
      </w:r>
    </w:p>
    <w:p w:rsidR="005B52AF" w:rsidRPr="005B52AF" w:rsidRDefault="005B52AF" w:rsidP="00DB6FB1">
      <w:pPr>
        <w:shd w:val="clear" w:color="auto" w:fill="FFFFFF"/>
        <w:spacing w:after="0"/>
        <w:jc w:val="center"/>
        <w:rPr>
          <w:rFonts w:eastAsia="Times New Roman" w:cs="Times New Roman"/>
          <w:color w:val="000000"/>
          <w:szCs w:val="24"/>
        </w:rPr>
      </w:pPr>
      <w:r w:rsidRPr="005B52AF">
        <w:rPr>
          <w:rFonts w:eastAsia="Times New Roman" w:cs="Times New Roman"/>
          <w:color w:val="000000"/>
          <w:szCs w:val="24"/>
        </w:rPr>
        <w:lastRenderedPageBreak/>
        <w:t>References</w:t>
      </w:r>
    </w:p>
    <w:p w:rsidR="005B52AF" w:rsidRPr="005B52AF" w:rsidRDefault="005B52AF" w:rsidP="00DB6FB1">
      <w:pPr>
        <w:shd w:val="clear" w:color="auto" w:fill="FFFFFF"/>
        <w:spacing w:after="0"/>
        <w:ind w:left="720" w:right="75" w:hanging="720"/>
        <w:rPr>
          <w:rFonts w:eastAsia="Times New Roman" w:cs="Times New Roman"/>
          <w:color w:val="000000"/>
          <w:szCs w:val="24"/>
        </w:rPr>
      </w:pPr>
      <w:r w:rsidRPr="005B52AF">
        <w:rPr>
          <w:rFonts w:eastAsia="Times New Roman" w:cs="Times New Roman"/>
          <w:color w:val="000000"/>
          <w:szCs w:val="24"/>
        </w:rPr>
        <w:t>Clougherty, J. A. (2015, March 5). The Impact of Horizontal Mergers on Rivals: Gains to Being Left Outside a Merger by Joseph A. Clougherty , Tomaso Duso :: SSRN. Retrieved from https://papers.ssrn.com/sol3/Delivery.cfm?abstractid=1492911</w:t>
      </w:r>
    </w:p>
    <w:p w:rsidR="005B52AF" w:rsidRPr="005B52AF" w:rsidRDefault="005B52AF" w:rsidP="00DB6FB1">
      <w:pPr>
        <w:shd w:val="clear" w:color="auto" w:fill="FFFFFF"/>
        <w:spacing w:after="0"/>
        <w:ind w:left="720" w:right="75" w:hanging="720"/>
        <w:rPr>
          <w:rFonts w:eastAsia="Times New Roman" w:cs="Times New Roman"/>
          <w:color w:val="000000"/>
          <w:szCs w:val="24"/>
        </w:rPr>
      </w:pPr>
      <w:r w:rsidRPr="005B52AF">
        <w:rPr>
          <w:rFonts w:eastAsia="Times New Roman" w:cs="Times New Roman"/>
          <w:color w:val="000000"/>
          <w:szCs w:val="24"/>
        </w:rPr>
        <w:t>Hanlon, G. (2017, June 17). Rethinking Corporate Social Responsibility and the Role of the Firm'On the Denial of Politics. Retrieved from https://www.oxfordhandbooks.com/view/10.1093/oxfordhb/9780199211593.001.0001/oxfordhb-9780199211593-e-007</w:t>
      </w:r>
    </w:p>
    <w:p w:rsidR="005B52AF" w:rsidRPr="005B52AF" w:rsidRDefault="005B52AF" w:rsidP="00DB6FB1">
      <w:pPr>
        <w:shd w:val="clear" w:color="auto" w:fill="FFFFFF"/>
        <w:spacing w:after="0"/>
        <w:ind w:left="720" w:right="75" w:hanging="720"/>
        <w:rPr>
          <w:rFonts w:eastAsia="Times New Roman" w:cs="Times New Roman"/>
          <w:color w:val="000000"/>
          <w:szCs w:val="24"/>
        </w:rPr>
      </w:pPr>
      <w:r w:rsidRPr="005B52AF">
        <w:rPr>
          <w:rFonts w:eastAsia="Times New Roman" w:cs="Times New Roman"/>
          <w:color w:val="000000"/>
          <w:szCs w:val="24"/>
        </w:rPr>
        <w:t>King, D. R. (2016, May 1). Addressing Competitive Responses to Acquisitions - David R. King, Svante Schriber, 2016. Retrieved from https://journals.sagepub.com/doi/abs/10.1525/cmr.2016.58.3.109</w:t>
      </w:r>
    </w:p>
    <w:p w:rsidR="005B52AF" w:rsidRPr="005B52AF" w:rsidRDefault="005B52AF" w:rsidP="00DB6FB1">
      <w:pPr>
        <w:shd w:val="clear" w:color="auto" w:fill="FFFFFF"/>
        <w:spacing w:after="0"/>
        <w:ind w:left="720" w:right="75" w:hanging="720"/>
        <w:rPr>
          <w:rFonts w:eastAsia="Times New Roman" w:cs="Times New Roman"/>
          <w:color w:val="000000"/>
          <w:szCs w:val="24"/>
        </w:rPr>
      </w:pPr>
      <w:r w:rsidRPr="005B52AF">
        <w:rPr>
          <w:rFonts w:eastAsia="Times New Roman" w:cs="Times New Roman"/>
          <w:color w:val="000000"/>
          <w:szCs w:val="24"/>
        </w:rPr>
        <w:t>Uhlen, K. (2017, July 8). Rivals' Reactions to Mergers and Acquisitions. Retrieved from https://epublications.marquette.edu/cgi/viewcontent.cgi?article=1266&amp;context=mgmt_fac</w:t>
      </w:r>
    </w:p>
    <w:p w:rsidR="005B52AF" w:rsidRPr="005B52AF" w:rsidRDefault="005B52AF" w:rsidP="00DB6FB1">
      <w:pPr>
        <w:shd w:val="clear" w:color="auto" w:fill="FFFFFF"/>
        <w:spacing w:after="0"/>
        <w:ind w:left="720" w:right="75" w:hanging="720"/>
        <w:rPr>
          <w:rFonts w:eastAsia="Times New Roman" w:cs="Times New Roman"/>
          <w:color w:val="000000"/>
          <w:szCs w:val="24"/>
        </w:rPr>
      </w:pPr>
      <w:r w:rsidRPr="005B52AF">
        <w:rPr>
          <w:rFonts w:eastAsia="Times New Roman" w:cs="Times New Roman"/>
          <w:color w:val="000000"/>
          <w:szCs w:val="24"/>
        </w:rPr>
        <w:t>Yahoo Finance. (2019, August 30). KR Key Statistics | Kroger Company (The) Stock. Retrieved from https://finance.yahoo.com/quote/KR/key-statistics?p=KR</w:t>
      </w:r>
    </w:p>
    <w:p w:rsidR="008010BD" w:rsidRDefault="008010BD" w:rsidP="00DB6FB1">
      <w:pPr>
        <w:spacing w:after="0"/>
        <w:rPr>
          <w:rFonts w:eastAsia="Times New Roman" w:cs="Times New Roman"/>
          <w:color w:val="000000"/>
          <w:szCs w:val="24"/>
        </w:rPr>
      </w:pPr>
    </w:p>
    <w:p w:rsidR="006F4421" w:rsidRPr="006F4421" w:rsidRDefault="006F4421" w:rsidP="00DB6FB1">
      <w:pPr>
        <w:spacing w:after="0"/>
        <w:rPr>
          <w:rFonts w:eastAsia="Times New Roman" w:cs="Times New Roman"/>
          <w:color w:val="000000"/>
          <w:szCs w:val="24"/>
        </w:rPr>
      </w:pPr>
      <w:r>
        <w:rPr>
          <w:rFonts w:eastAsia="Times New Roman" w:cs="Times New Roman"/>
          <w:color w:val="000000"/>
          <w:szCs w:val="24"/>
        </w:rPr>
        <w:t xml:space="preserve"> </w:t>
      </w:r>
    </w:p>
    <w:sectPr w:rsidR="006F4421" w:rsidRPr="006F4421" w:rsidSect="0073529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60CC" w:rsidRDefault="008060CC">
      <w:pPr>
        <w:spacing w:after="0" w:line="240" w:lineRule="auto"/>
      </w:pPr>
      <w:r>
        <w:separator/>
      </w:r>
    </w:p>
  </w:endnote>
  <w:endnote w:type="continuationSeparator" w:id="0">
    <w:p w:rsidR="008060CC" w:rsidRDefault="00806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60CC" w:rsidRDefault="008060CC">
      <w:pPr>
        <w:spacing w:after="0" w:line="240" w:lineRule="auto"/>
      </w:pPr>
      <w:r>
        <w:separator/>
      </w:r>
    </w:p>
  </w:footnote>
  <w:footnote w:type="continuationSeparator" w:id="0">
    <w:p w:rsidR="008060CC" w:rsidRDefault="00806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FF" w:rsidRDefault="00DB6FB1">
    <w:pPr>
      <w:pStyle w:val="Header"/>
    </w:pPr>
    <w:r>
      <w:t>KROGER COMPANY MINI-CASE</w:t>
    </w:r>
    <w:r>
      <w:tab/>
    </w:r>
    <w:r>
      <w:tab/>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FF" w:rsidRDefault="00812850">
    <w:pPr>
      <w:pStyle w:val="Header"/>
    </w:pPr>
    <w:r>
      <w:t xml:space="preserve">Running head: </w:t>
    </w:r>
    <w:r w:rsidR="00DB6FB1">
      <w:t>KROGER COMPANY MINI-CASE</w:t>
    </w:r>
    <w:r w:rsidR="00DB6FB1">
      <w:tab/>
    </w:r>
    <w:r w:rsidR="00DB6FB1">
      <w:fldChar w:fldCharType="begin"/>
    </w:r>
    <w:r w:rsidR="00DB6FB1">
      <w:instrText xml:space="preserve"> PAGE   \* MERGEFORMAT </w:instrText>
    </w:r>
    <w:r w:rsidR="00DB6FB1">
      <w:fldChar w:fldCharType="separate"/>
    </w:r>
    <w:r w:rsidR="00DB6FB1">
      <w:rPr>
        <w:noProof/>
      </w:rPr>
      <w:t>1</w:t>
    </w:r>
    <w:r w:rsidR="00DB6FB1">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BA06DD"/>
    <w:multiLevelType w:val="hybridMultilevel"/>
    <w:tmpl w:val="22628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B2583D"/>
    <w:multiLevelType w:val="hybridMultilevel"/>
    <w:tmpl w:val="CA7EEDD8"/>
    <w:lvl w:ilvl="0" w:tplc="BFD61108">
      <w:start w:val="1"/>
      <w:numFmt w:val="decimal"/>
      <w:lvlText w:val="%1."/>
      <w:lvlJc w:val="left"/>
      <w:pPr>
        <w:ind w:left="720" w:hanging="360"/>
      </w:pPr>
      <w:rPr>
        <w:rFonts w:hint="default"/>
        <w:b/>
      </w:rPr>
    </w:lvl>
    <w:lvl w:ilvl="1" w:tplc="D862C556" w:tentative="1">
      <w:start w:val="1"/>
      <w:numFmt w:val="lowerLetter"/>
      <w:lvlText w:val="%2."/>
      <w:lvlJc w:val="left"/>
      <w:pPr>
        <w:ind w:left="1440" w:hanging="360"/>
      </w:pPr>
    </w:lvl>
    <w:lvl w:ilvl="2" w:tplc="FEC0AC36" w:tentative="1">
      <w:start w:val="1"/>
      <w:numFmt w:val="lowerRoman"/>
      <w:lvlText w:val="%3."/>
      <w:lvlJc w:val="right"/>
      <w:pPr>
        <w:ind w:left="2160" w:hanging="180"/>
      </w:pPr>
    </w:lvl>
    <w:lvl w:ilvl="3" w:tplc="1B90A888" w:tentative="1">
      <w:start w:val="1"/>
      <w:numFmt w:val="decimal"/>
      <w:lvlText w:val="%4."/>
      <w:lvlJc w:val="left"/>
      <w:pPr>
        <w:ind w:left="2880" w:hanging="360"/>
      </w:pPr>
    </w:lvl>
    <w:lvl w:ilvl="4" w:tplc="D8B89928" w:tentative="1">
      <w:start w:val="1"/>
      <w:numFmt w:val="lowerLetter"/>
      <w:lvlText w:val="%5."/>
      <w:lvlJc w:val="left"/>
      <w:pPr>
        <w:ind w:left="3600" w:hanging="360"/>
      </w:pPr>
    </w:lvl>
    <w:lvl w:ilvl="5" w:tplc="0FD0E3B2" w:tentative="1">
      <w:start w:val="1"/>
      <w:numFmt w:val="lowerRoman"/>
      <w:lvlText w:val="%6."/>
      <w:lvlJc w:val="right"/>
      <w:pPr>
        <w:ind w:left="4320" w:hanging="180"/>
      </w:pPr>
    </w:lvl>
    <w:lvl w:ilvl="6" w:tplc="B2A853F4" w:tentative="1">
      <w:start w:val="1"/>
      <w:numFmt w:val="decimal"/>
      <w:lvlText w:val="%7."/>
      <w:lvlJc w:val="left"/>
      <w:pPr>
        <w:ind w:left="5040" w:hanging="360"/>
      </w:pPr>
    </w:lvl>
    <w:lvl w:ilvl="7" w:tplc="326CC2C0" w:tentative="1">
      <w:start w:val="1"/>
      <w:numFmt w:val="lowerLetter"/>
      <w:lvlText w:val="%8."/>
      <w:lvlJc w:val="left"/>
      <w:pPr>
        <w:ind w:left="5760" w:hanging="360"/>
      </w:pPr>
    </w:lvl>
    <w:lvl w:ilvl="8" w:tplc="F1143A78" w:tentative="1">
      <w:start w:val="1"/>
      <w:numFmt w:val="lowerRoman"/>
      <w:lvlText w:val="%9."/>
      <w:lvlJc w:val="right"/>
      <w:pPr>
        <w:ind w:left="6480" w:hanging="180"/>
      </w:pPr>
    </w:lvl>
  </w:abstractNum>
  <w:abstractNum w:abstractNumId="2" w15:restartNumberingAfterBreak="0">
    <w:nsid w:val="4BE96697"/>
    <w:multiLevelType w:val="hybridMultilevel"/>
    <w:tmpl w:val="1A86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EFF"/>
    <w:rsid w:val="0005115B"/>
    <w:rsid w:val="0007226F"/>
    <w:rsid w:val="00093F50"/>
    <w:rsid w:val="000952E5"/>
    <w:rsid w:val="000A4550"/>
    <w:rsid w:val="00112F77"/>
    <w:rsid w:val="00140EB8"/>
    <w:rsid w:val="001468E6"/>
    <w:rsid w:val="00151E11"/>
    <w:rsid w:val="001566D3"/>
    <w:rsid w:val="00156C05"/>
    <w:rsid w:val="0016783D"/>
    <w:rsid w:val="00175792"/>
    <w:rsid w:val="001778D4"/>
    <w:rsid w:val="00186F3B"/>
    <w:rsid w:val="001B04E8"/>
    <w:rsid w:val="001B0FE2"/>
    <w:rsid w:val="00206DB6"/>
    <w:rsid w:val="00214EB5"/>
    <w:rsid w:val="00216AF5"/>
    <w:rsid w:val="00217FF5"/>
    <w:rsid w:val="002358B3"/>
    <w:rsid w:val="00235E9D"/>
    <w:rsid w:val="00243FB7"/>
    <w:rsid w:val="00247087"/>
    <w:rsid w:val="00252A5D"/>
    <w:rsid w:val="002719D9"/>
    <w:rsid w:val="00274D90"/>
    <w:rsid w:val="00294C4A"/>
    <w:rsid w:val="002B63DB"/>
    <w:rsid w:val="002C588D"/>
    <w:rsid w:val="002E6D65"/>
    <w:rsid w:val="003357AC"/>
    <w:rsid w:val="00350CF8"/>
    <w:rsid w:val="0035546B"/>
    <w:rsid w:val="00364FE2"/>
    <w:rsid w:val="00370A8E"/>
    <w:rsid w:val="00377971"/>
    <w:rsid w:val="00387453"/>
    <w:rsid w:val="003909B6"/>
    <w:rsid w:val="003932AA"/>
    <w:rsid w:val="00396661"/>
    <w:rsid w:val="003B32F0"/>
    <w:rsid w:val="003C4732"/>
    <w:rsid w:val="004011D2"/>
    <w:rsid w:val="00426467"/>
    <w:rsid w:val="004330D8"/>
    <w:rsid w:val="00434F10"/>
    <w:rsid w:val="00435BA5"/>
    <w:rsid w:val="00445E8A"/>
    <w:rsid w:val="004529AA"/>
    <w:rsid w:val="00452E62"/>
    <w:rsid w:val="004579E9"/>
    <w:rsid w:val="004633B6"/>
    <w:rsid w:val="004646A8"/>
    <w:rsid w:val="00471694"/>
    <w:rsid w:val="00476059"/>
    <w:rsid w:val="00481EB7"/>
    <w:rsid w:val="0048710E"/>
    <w:rsid w:val="004B2230"/>
    <w:rsid w:val="004B2C89"/>
    <w:rsid w:val="004D24B2"/>
    <w:rsid w:val="004F302E"/>
    <w:rsid w:val="0051278F"/>
    <w:rsid w:val="0052095B"/>
    <w:rsid w:val="00524239"/>
    <w:rsid w:val="005506BE"/>
    <w:rsid w:val="005718AB"/>
    <w:rsid w:val="0059409A"/>
    <w:rsid w:val="00594C9A"/>
    <w:rsid w:val="005B52AF"/>
    <w:rsid w:val="005C48F0"/>
    <w:rsid w:val="005C77D4"/>
    <w:rsid w:val="005D6AE2"/>
    <w:rsid w:val="005E13AE"/>
    <w:rsid w:val="006114CD"/>
    <w:rsid w:val="006135A8"/>
    <w:rsid w:val="00621869"/>
    <w:rsid w:val="00630BC0"/>
    <w:rsid w:val="0066359B"/>
    <w:rsid w:val="006837AD"/>
    <w:rsid w:val="006863A5"/>
    <w:rsid w:val="00690E20"/>
    <w:rsid w:val="006A7472"/>
    <w:rsid w:val="006B2F2D"/>
    <w:rsid w:val="006C5A21"/>
    <w:rsid w:val="006D2D7E"/>
    <w:rsid w:val="006E1D48"/>
    <w:rsid w:val="006F4421"/>
    <w:rsid w:val="006F492F"/>
    <w:rsid w:val="0070007E"/>
    <w:rsid w:val="00734D28"/>
    <w:rsid w:val="00735290"/>
    <w:rsid w:val="0073550D"/>
    <w:rsid w:val="00736298"/>
    <w:rsid w:val="00740550"/>
    <w:rsid w:val="0074629A"/>
    <w:rsid w:val="007477BB"/>
    <w:rsid w:val="00760F42"/>
    <w:rsid w:val="007A2A93"/>
    <w:rsid w:val="007A2E02"/>
    <w:rsid w:val="007B0D60"/>
    <w:rsid w:val="007B68BD"/>
    <w:rsid w:val="007C365A"/>
    <w:rsid w:val="007E5FF1"/>
    <w:rsid w:val="007F5B22"/>
    <w:rsid w:val="008010BD"/>
    <w:rsid w:val="008060CC"/>
    <w:rsid w:val="00812850"/>
    <w:rsid w:val="00831C7C"/>
    <w:rsid w:val="00841408"/>
    <w:rsid w:val="0084469C"/>
    <w:rsid w:val="00857DCE"/>
    <w:rsid w:val="0086581F"/>
    <w:rsid w:val="00872B70"/>
    <w:rsid w:val="008B2B5C"/>
    <w:rsid w:val="008B54E0"/>
    <w:rsid w:val="008C7056"/>
    <w:rsid w:val="008C7B27"/>
    <w:rsid w:val="008F753D"/>
    <w:rsid w:val="0094343A"/>
    <w:rsid w:val="00966D08"/>
    <w:rsid w:val="009B4A4C"/>
    <w:rsid w:val="009C71BF"/>
    <w:rsid w:val="009C7FAF"/>
    <w:rsid w:val="009D3419"/>
    <w:rsid w:val="009E4BC7"/>
    <w:rsid w:val="009F0544"/>
    <w:rsid w:val="00A00942"/>
    <w:rsid w:val="00A20ACF"/>
    <w:rsid w:val="00A31E92"/>
    <w:rsid w:val="00A47CE1"/>
    <w:rsid w:val="00A54C7E"/>
    <w:rsid w:val="00A71BD6"/>
    <w:rsid w:val="00A71CF1"/>
    <w:rsid w:val="00A832D0"/>
    <w:rsid w:val="00A90044"/>
    <w:rsid w:val="00A96944"/>
    <w:rsid w:val="00AA27FA"/>
    <w:rsid w:val="00AA30C3"/>
    <w:rsid w:val="00AA738F"/>
    <w:rsid w:val="00AB1E98"/>
    <w:rsid w:val="00AB763A"/>
    <w:rsid w:val="00AD3762"/>
    <w:rsid w:val="00AE1D53"/>
    <w:rsid w:val="00AE20DD"/>
    <w:rsid w:val="00AE2ACB"/>
    <w:rsid w:val="00AF1905"/>
    <w:rsid w:val="00B30379"/>
    <w:rsid w:val="00B32972"/>
    <w:rsid w:val="00B5203D"/>
    <w:rsid w:val="00B63DE6"/>
    <w:rsid w:val="00B71300"/>
    <w:rsid w:val="00B72F8B"/>
    <w:rsid w:val="00B86742"/>
    <w:rsid w:val="00B871AC"/>
    <w:rsid w:val="00B87CFF"/>
    <w:rsid w:val="00B95F13"/>
    <w:rsid w:val="00BA318D"/>
    <w:rsid w:val="00BB04B2"/>
    <w:rsid w:val="00BD0958"/>
    <w:rsid w:val="00BE555A"/>
    <w:rsid w:val="00BE659E"/>
    <w:rsid w:val="00C14EFF"/>
    <w:rsid w:val="00C167C3"/>
    <w:rsid w:val="00C20D7C"/>
    <w:rsid w:val="00C357A5"/>
    <w:rsid w:val="00C37097"/>
    <w:rsid w:val="00C96E4F"/>
    <w:rsid w:val="00CC2972"/>
    <w:rsid w:val="00CF259B"/>
    <w:rsid w:val="00D00A3E"/>
    <w:rsid w:val="00D107DB"/>
    <w:rsid w:val="00D24B65"/>
    <w:rsid w:val="00D52D24"/>
    <w:rsid w:val="00D5629B"/>
    <w:rsid w:val="00D56C1F"/>
    <w:rsid w:val="00D57139"/>
    <w:rsid w:val="00D71A6D"/>
    <w:rsid w:val="00D771DB"/>
    <w:rsid w:val="00DA0844"/>
    <w:rsid w:val="00DB0B6B"/>
    <w:rsid w:val="00DB35D4"/>
    <w:rsid w:val="00DB6FB1"/>
    <w:rsid w:val="00DE1955"/>
    <w:rsid w:val="00DE2F9D"/>
    <w:rsid w:val="00DF0C6F"/>
    <w:rsid w:val="00DF3FFA"/>
    <w:rsid w:val="00E36EA3"/>
    <w:rsid w:val="00E53EBA"/>
    <w:rsid w:val="00E7309C"/>
    <w:rsid w:val="00E76A22"/>
    <w:rsid w:val="00E95870"/>
    <w:rsid w:val="00EA174C"/>
    <w:rsid w:val="00EB3949"/>
    <w:rsid w:val="00EB6800"/>
    <w:rsid w:val="00EB7ABC"/>
    <w:rsid w:val="00EC759D"/>
    <w:rsid w:val="00ED3958"/>
    <w:rsid w:val="00EE5E0F"/>
    <w:rsid w:val="00F1092C"/>
    <w:rsid w:val="00F127CF"/>
    <w:rsid w:val="00F240B9"/>
    <w:rsid w:val="00F3151D"/>
    <w:rsid w:val="00F46043"/>
    <w:rsid w:val="00F77C43"/>
    <w:rsid w:val="00F87FDC"/>
    <w:rsid w:val="00F92009"/>
    <w:rsid w:val="00F928C5"/>
    <w:rsid w:val="00FA4C85"/>
    <w:rsid w:val="00FA7D37"/>
    <w:rsid w:val="00FB13A2"/>
    <w:rsid w:val="00FB4CC3"/>
    <w:rsid w:val="00FC0FAE"/>
    <w:rsid w:val="00FC19DC"/>
    <w:rsid w:val="00FC773D"/>
    <w:rsid w:val="00FE3C7C"/>
    <w:rsid w:val="00FE6CBF"/>
    <w:rsid w:val="00FF5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C4362"/>
  <w15:docId w15:val="{CDD3F589-1D55-4CAC-9A70-688255E42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SimSu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290"/>
  </w:style>
  <w:style w:type="paragraph" w:styleId="Heading1">
    <w:name w:val="heading 1"/>
    <w:basedOn w:val="Normal"/>
    <w:next w:val="Normal"/>
    <w:link w:val="Heading1Char"/>
    <w:uiPriority w:val="9"/>
    <w:qFormat/>
    <w:rsid w:val="00735290"/>
    <w:pPr>
      <w:keepNext/>
      <w:keepLines/>
      <w:spacing w:before="240" w:after="0" w:line="259" w:lineRule="auto"/>
      <w:outlineLvl w:val="0"/>
    </w:pPr>
    <w:rPr>
      <w:rFonts w:ascii="Calibri Light" w:eastAsia="SimSu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352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290"/>
  </w:style>
  <w:style w:type="paragraph" w:styleId="Footer">
    <w:name w:val="footer"/>
    <w:basedOn w:val="Normal"/>
    <w:link w:val="FooterChar"/>
    <w:uiPriority w:val="99"/>
    <w:rsid w:val="007352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290"/>
  </w:style>
  <w:style w:type="character" w:customStyle="1" w:styleId="Heading1Char">
    <w:name w:val="Heading 1 Char"/>
    <w:basedOn w:val="DefaultParagraphFont"/>
    <w:link w:val="Heading1"/>
    <w:uiPriority w:val="9"/>
    <w:rsid w:val="00735290"/>
    <w:rPr>
      <w:rFonts w:ascii="Calibri Light" w:eastAsia="SimSun" w:hAnsi="Calibri Light" w:cs="SimSun"/>
      <w:color w:val="2F5496"/>
      <w:sz w:val="32"/>
      <w:szCs w:val="32"/>
    </w:rPr>
  </w:style>
  <w:style w:type="paragraph" w:styleId="Bibliography">
    <w:name w:val="Bibliography"/>
    <w:basedOn w:val="Normal"/>
    <w:next w:val="Normal"/>
    <w:uiPriority w:val="37"/>
    <w:rsid w:val="00735290"/>
  </w:style>
  <w:style w:type="paragraph" w:styleId="BalloonText">
    <w:name w:val="Balloon Text"/>
    <w:basedOn w:val="Normal"/>
    <w:link w:val="BalloonTextChar"/>
    <w:uiPriority w:val="99"/>
    <w:semiHidden/>
    <w:unhideWhenUsed/>
    <w:rsid w:val="006218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869"/>
    <w:rPr>
      <w:rFonts w:ascii="Tahoma" w:hAnsi="Tahoma" w:cs="Tahoma"/>
      <w:sz w:val="16"/>
      <w:szCs w:val="16"/>
    </w:rPr>
  </w:style>
  <w:style w:type="paragraph" w:customStyle="1" w:styleId="cpformat">
    <w:name w:val="cpformat"/>
    <w:basedOn w:val="Normal"/>
    <w:rsid w:val="00B95F13"/>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B871AC"/>
    <w:rPr>
      <w:color w:val="0000FF" w:themeColor="hyperlink"/>
      <w:u w:val="single"/>
    </w:rPr>
  </w:style>
  <w:style w:type="paragraph" w:styleId="ListParagraph">
    <w:name w:val="List Paragraph"/>
    <w:basedOn w:val="Normal"/>
    <w:uiPriority w:val="34"/>
    <w:qFormat/>
    <w:rsid w:val="00F928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426342">
      <w:bodyDiv w:val="1"/>
      <w:marLeft w:val="0"/>
      <w:marRight w:val="0"/>
      <w:marTop w:val="0"/>
      <w:marBottom w:val="0"/>
      <w:divBdr>
        <w:top w:val="none" w:sz="0" w:space="0" w:color="auto"/>
        <w:left w:val="none" w:sz="0" w:space="0" w:color="auto"/>
        <w:bottom w:val="none" w:sz="0" w:space="0" w:color="auto"/>
        <w:right w:val="none" w:sz="0" w:space="0" w:color="auto"/>
      </w:divBdr>
    </w:div>
    <w:div w:id="1776290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Son18</b:Tag>
    <b:SourceType>InternetSite</b:SourceType>
    <b:Guid>{9D5A3267-5AF2-4E7B-B30A-0CFC9AA88D0E}</b:Guid>
    <b:Author>
      <b:Author>
        <b:Corporate>Sony.net</b:Corporate>
      </b:Author>
    </b:Author>
    <b:Title>About Sony</b:Title>
    <b:Year>2018</b:Year>
    <b:YearAccessed>2018</b:YearAccessed>
    <b:MonthAccessed>August</b:MonthAccessed>
    <b:DayAccessed>12</b:DayAccessed>
    <b:URL>https://www.sony.net/SonyInfo/</b:URL>
    <b:RefOrder>1</b:RefOrder>
  </b:Source>
  <b:Source>
    <b:Tag>Gup15</b:Tag>
    <b:SourceType>JournalArticle</b:SourceType>
    <b:Guid>{F5ED76B3-9888-4976-935D-9D7C3A05C8AD}</b:Guid>
    <b:Title>Organizational Restructuring and Collaborative Creativity: The Case of Microsoft and Sony</b:Title>
    <b:Year>2015</b:Year>
    <b:Author>
      <b:Author>
        <b:NameList>
          <b:Person>
            <b:Last>Gupta</b:Last>
            <b:First>S</b:First>
          </b:Person>
          <b:Person>
            <b:Last>Dhillon</b:Last>
            <b:First>I</b:First>
          </b:Person>
        </b:NameList>
      </b:Author>
    </b:Author>
    <b:JournalName>Journal of Business Strategy</b:JournalName>
    <b:Pages>53-65</b:Pages>
    <b:Volume>12</b:Volume>
    <b:Issue>1</b:Issue>
    <b:RefOrder>2</b:RefOrder>
  </b:Source>
  <b:Source>
    <b:Tag>Tet16</b:Tag>
    <b:SourceType>Book</b:SourceType>
    <b:Guid>{018929CC-D121-4A5F-86D3-82B7A126545F}</b:Guid>
    <b:Author>
      <b:Author>
        <b:NameList>
          <b:Person>
            <b:Last>Tett</b:Last>
            <b:First>Gillian</b:First>
          </b:Person>
        </b:NameList>
      </b:Author>
    </b:Author>
    <b:Title>Ibuka suffered stroke in 1992 while Morita got affected by the same in 1993</b:Title>
    <b:Year>2016</b:Year>
    <b:City>New York</b:City>
    <b:Publisher>Simon and Schuster</b:Publisher>
    <b:RefOrder>3</b:RefOrder>
  </b:Source>
  <b:Source>
    <b:Tag>Sch03</b:Tag>
    <b:SourceType>JournalArticle</b:SourceType>
    <b:Guid>{637D3E1D-F308-4873-A182-F2A522CC8927}</b:Guid>
    <b:Title>The introduction of the PlayStation video game console in the entertainment division in 1994</b:Title>
    <b:Year>2003</b:Year>
    <b:Author>
      <b:Author>
        <b:NameList>
          <b:Person>
            <b:Last>Schilling</b:Last>
            <b:First>M</b:First>
            <b:Middle>A</b:Middle>
          </b:Person>
        </b:NameList>
      </b:Author>
    </b:Author>
    <b:JournalName>California Management Review</b:JournalName>
    <b:Volume>45</b:Volume>
    <b:Issue>3</b:Issue>
    <b:URL>https://doi.org/10.2307/41166174</b:URL>
    <b:RefOrder>4</b:RefOrder>
  </b:Source>
  <b:Source>
    <b:Tag>Fon03</b:Tag>
    <b:SourceType>JournalArticle</b:SourceType>
    <b:Guid>{F1D6761A-91C0-4088-8A58-894F47DE8AF5}</b:Guid>
    <b:Author>
      <b:Author>
        <b:NameList>
          <b:Person>
            <b:Last>Fong</b:Last>
            <b:First>T</b:First>
          </b:Person>
          <b:Person>
            <b:Last>Nourbakhsh</b:Last>
            <b:First>I</b:First>
          </b:Person>
          <b:Person>
            <b:Last>Duetehann</b:Last>
            <b:First>K</b:First>
          </b:Person>
        </b:NameList>
      </b:Author>
    </b:Author>
    <b:Title>A survey of socially interactive robots</b:Title>
    <b:JournalName>Robotics and Autonomous Systems</b:JournalName>
    <b:Year>2003</b:Year>
    <b:Pages>143-146</b:Pages>
    <b:Volume>42</b:Volume>
    <b:Issue>3-4</b:Issue>
    <b:URL>https://doi.org/10.1016/S0921-8890(02)00372-X</b:URL>
    <b:RefOrder>5</b:RefOrder>
  </b:Source>
  <b:Source>
    <b:Tag>Vel15</b:Tag>
    <b:SourceType>JournalArticle</b:SourceType>
    <b:Guid>{E20F2BF3-C09B-4911-AF3C-CBC427355053}</b:Guid>
    <b:Author>
      <b:Author>
        <b:NameList>
          <b:Person>
            <b:Last>Velez-Castrillon</b:Last>
            <b:First>S</b:First>
          </b:Person>
          <b:Person>
            <b:Last>Cory</b:Last>
            <b:First>A</b:First>
          </b:Person>
        </b:NameList>
      </b:Author>
    </b:Author>
    <b:Title>How Sony Got its Groove Back: A Case Study in Turnaround Management</b:Title>
    <b:JournalName>Business Education Innovation Journal</b:JournalName>
    <b:Year>2015</b:Year>
    <b:Pages>144-154</b:Pages>
    <b:Volume>7</b:Volume>
    <b:Issue>2</b:Issue>
    <b:RefOrder>6</b:RefOrder>
  </b:Source>
  <b:Source>
    <b:Tag>Mul07</b:Tag>
    <b:SourceType>JournalArticle</b:SourceType>
    <b:Guid>{60A3AE74-0B17-43FE-80B2-B4B12EE434B0}</b:Guid>
    <b:Author>
      <b:Author>
        <b:NameList>
          <b:Person>
            <b:Last>Mulligan</b:Last>
            <b:First>D</b:First>
            <b:Middle>K</b:Middle>
          </b:Person>
          <b:Person>
            <b:Last>Perzanowski</b:Last>
            <b:Middle>K</b:Middle>
            <b:First>A</b:First>
          </b:Person>
        </b:NameList>
      </b:Author>
    </b:Author>
    <b:Title>The magnificence of the disaster: Reconstructing the Sony BMG rootkit incident</b:Title>
    <b:JournalName>Berkeley Tech</b:JournalName>
    <b:Year>2007</b:Year>
    <b:Pages>1157-1168</b:Pages>
    <b:Volume>12</b:Volume>
    <b:Issue>2</b:Issue>
    <b:RefOrder>7</b:RefOrder>
  </b:Source>
</b:Sources>
</file>

<file path=customXml/itemProps1.xml><?xml version="1.0" encoding="utf-8"?>
<ds:datastoreItem xmlns:ds="http://schemas.openxmlformats.org/officeDocument/2006/customXml" ds:itemID="{A20C788D-31E2-4168-AC95-6683C68CF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Moses Njuguna Mbugua</dc:creator>
  <cp:lastModifiedBy>Windows User</cp:lastModifiedBy>
  <cp:revision>2</cp:revision>
  <dcterms:created xsi:type="dcterms:W3CDTF">2019-08-31T05:24:00Z</dcterms:created>
  <dcterms:modified xsi:type="dcterms:W3CDTF">2019-08-31T05:24:00Z</dcterms:modified>
</cp:coreProperties>
</file>